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8</w:t>
      </w:r>
    </w:p>
    <w:p>
      <w:r>
        <w:t>Bundesgericht (BGE), 1993-02-04, DE</w:t>
      </w:r>
    </w:p>
    <w:p>
      <w:r>
        <w:rPr>
          <w:b/>
        </w:rPr>
        <w:t xml:space="preserve">Quelle: </w:t>
      </w:r>
      <w:r>
        <w:t>https://mcp.opencaselaw.ch/entscheid/bge_119 III 8</w:t>
      </w:r>
    </w:p>
    <w:p>
      <w:r>
        <w:t>FR: ATF 119 III 8</w:t>
      </w:r>
    </w:p>
    <w:p>
      <w:r>
        <w:t>IT: DTF 119 III 8</w:t>
      </w:r>
    </w:p>
    <w:p>
      <w:pPr>
        <w:pStyle w:val="Heading2"/>
      </w:pPr>
      <w:r>
        <w:t>Regeste</w:t>
      </w:r>
    </w:p>
    <w:p>
      <w:r>
        <w:t>Regeste Art. 4 BV (Willkür); nachträglicher Rechtsvorschlag (Art. 77 SchKG). 1. Der Rechtsvorschlag kann anlässlich der Zustellung des Zahlungsbefehls gegenüber dem Postbeamten erklärt werden, der als Betreibungsgehilfe handelt. Wird der erhobene Rechtsvorschlag vom Postbeamten nicht verurkundet, so ist die Annahme nicht willkürlich, dass diese Unterlassung durch Beschwerde nach Art. 17 SchKG bei der Aufsichtsbehörde über Schuldbetreibung und Konkurs hätte angefochten werden können (E. 2). 2. Nicht willkürlich ist die Auffassung, es dürfe von jedem im Geschäftsleben tätigen Menschen erwartet werden, dass er korrekt Rechtsvorschlag erhebt. Vor allem wer erstmals im Leben einen Zahlungsbefehl erhält, muss das Formular genau lesen, um seiner Sorgfaltspflicht zu genügen (E. 4).</w:t>
      </w:r>
    </w:p>
    <w:p>
      <w:pPr>
        <w:pStyle w:val="Heading2"/>
      </w:pPr>
      <w:r>
        <w:t>Erwägungen</w:t>
      </w:r>
    </w:p>
    <w:p>
      <w:r>
        <w:rPr>
          <w:b/>
        </w:rPr>
        <w:t>E. 2</w:t>
      </w:r>
    </w:p>
    <w:p>
      <w:r>
        <w:t>a) Die Beschwerdeführerin sieht das Willkürverbot des Art. 4 BV verletzt, weil das Obergericht des Kantons Basel-Landschaft den nachträglichen Rechtsvorschlag unter anderem mit der Begründung abgewiesen hat, die I. AG hätte durch Beschwerde gegen das zuständige Betreibungsamt die nachträgliche Berücksichtigung eines Rechtsvorschlags, der effektiv bei der den BGE 119 III 8 S. 10 Zahlungsbefehl zustellenden Postbeamtin erhoben worden sei, anstreben müssen. Damit habe das Obergericht den Beweisnotstand der I. AG verkannt; denn die Postbeamtin hätte, da die Tatsache des unterbliebenen Rechtsvorschlags erst mehr als einen Monat später festgestellt worden sei, den Vorgang gar nicht mehr mit hinreichender Klarheit schildern können. Somit sei der Beschwerdeführerin nichts anderes übriggeblieben, als auf eine Beschwerde im Sinne von Art. 17 SchKG zu verzichten und beim Richter gestützt auf Art. 77 SchKG ein Gesuch um nachträgliche Bewilligung des Rechtsvorschlags zu stellen. b) Das Obergericht des Kantons Basel-Landschaft ist im angefochtenen Urteil zutreffend davon ausgegangen, dass bei Zustellung des Zahlungsbefehls durch die Post der zustellende Postbote als Betreibungsgehilfe handelt (AMONN, Grundriss des Schuldbetreibungs- und Konkursrechts, 4. Auflage, Bern 1988, § 12 N. 9). Sodann ist im angefochtenen Urteil zu Recht auf BGE 85 III 167 verwiesen worden, wonach die Erklärung über die Erhebung des Rechtsvorschlags anlässlich der Zustellung des Zahlungsbefehls gegenüber dem Postboten abgegeben werden kann, welcher die Erklärung an das Betreibungsamt weiterzuleiten hat (Art. 153a V(1) zum PVG; es schadet entgegen der Meinung der Beschwerdeführerin nichts, dass das Obergericht in diesem Zusammenhang eine überholte, inhaltlich aber grundsätzlich gleichlautende Bestimmung dieser Verordnung angerufen hat). Wenn das Obergericht gestützt hierauf zum Schluss gelangt ist, der Rechtsvorschlag wäre gültig erfolgt, wenn der Direktor der I. AG bei der Entgegennahme des Zahlungsbefehls der Postbeamtin gegenüber sofort Rechtsvorschlag erklärt hätte, und dass damit gar kein Anlass für die Bewilligung des nachträglichen Rechtsvorschlags bestanden hätte, so ist dies nichts anderes als folgerichtig. Die Tatsache, dass die Postbeamtin den Rechtsvorschlag nicht verurkundet hat, aber hätte mit der Beschwerde gemäss Art. 17 SchKG gerügt werden können. Dass die Beschwerde zum voraus aussichtslos gewesen wäre, erscheint zumindest nicht als derart sicher, dass die Verweisung des Obergerichts auf den Beschwerdeweg als geradezu unhaltbar zu betrachten wäre. Eine Verletzung von Art. 4 BV liegt deshalb in diesem Punkt nicht vor.</w:t>
      </w:r>
    </w:p>
    <w:p>
      <w:r>
        <w:rPr>
          <w:b/>
        </w:rPr>
        <w:t>E. 4</w:t>
      </w:r>
    </w:p>
    <w:p>
      <w:r>
        <w:t>a) Die Beschwerdeführerin rügt auch, das Obergericht des Kantons Basel-Landschaft habe willkürlich verneint, dass die I. AG unverschuldet verhindert war, innerhalb der gesetzlichen Frist Rechtsvorschlag zu erheben. Ihrer Ansicht nach hat das Obergericht BGE 119 III 8 S. 11 Massstäbe gesetzt, die allenfalls gegenüber Juristen angängig seien. Es sei nämlich zu berücksichtigen, dass der Direktor der I. AG zum erstenmal in seinem Leben einen Zahlungsbefehl entgegengenommen habe, nachdem kurz zuvor der bis dahin zuständige Sachbearbeiter krankheitshalber aus dem Unternehmen ausgeschieden sei. b) Das Obergericht des Kantons Basel-Landschaft hat mit eingehender Begründung die Schuldlosigkeit der Beschwerdeführerin bzw. des für sie handelnden Organs verneint und demzufolge die Bewilligung für den nachträglichen Rechtsvorschlag im Sinne von Art. 77 SchKG verweigert. Es hat ausgeführt, von jedem im Geschäftsleben tätigen Menschen, vor allem aber von einem Direktor dürfe erwartet werden, dass er korrekt Rechtsvorschlag erhebe. Nicht zuletzt im Hinblick auf die betriebene Forderung von rund Fr. 250'000.-- wäre es dem Direktor zuzumuten gewesen, den Zahlungsbefehl genau durchzusehen und insbesondere die auf dem Zahlungsbefehl abgedruckten Hinweise für die Erhebung des Rechtsvorschlags zu beachten. Zwar befinde sich die Rubrik "Rechtsvorschlag"; in unmittelbarer Nähe zur Rubrik "Zustellbescheinigung"; aber trotz dieser nahen Plazierung könne nicht gesagt werden, dass das Formular unübersichtlich sei. Diese Ausführungen sind alles andere als unhaltbar. Sie stimmen insbesondere mit der Aktenlage überein. Vor allem wer erstmals im Leben einen Zahlungsbefehl erhält, muss das Formular genau lesen, um seiner Sorgfaltspflicht zu genügen. Die Schlussfolgerung des Obergerichts ist auch deshalb nicht willkürlich, weil die Praxis in der Anwendung des Art. 77 SchKG allgemein restriktiv ist (FRITZSCHE/WALDER, Schuldbetreibung und Konkurs nach schweizerischem Recht, Band I, § 17 Rz.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